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A02D2" w14:textId="77777777"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14:paraId="153E96B3" w14:textId="43124EDD" w:rsidR="00B82F39" w:rsidRDefault="00E3593F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 xml:space="preserve">Перевод недвижимости из совместной собственности в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>долевую</w:t>
      </w:r>
      <w:proofErr w:type="gramEnd"/>
    </w:p>
    <w:p w14:paraId="1D93F056" w14:textId="77777777" w:rsidR="00E3593F" w:rsidRPr="005C7E33" w:rsidRDefault="00E3593F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</w:p>
    <w:p w14:paraId="184E6985" w14:textId="3A5610A9" w:rsidR="00E3593F" w:rsidRDefault="003C6016" w:rsidP="00E3593F">
      <w:pPr>
        <w:tabs>
          <w:tab w:val="left" w:pos="567"/>
        </w:tabs>
        <w:spacing w:after="0" w:line="240" w:lineRule="atLeast"/>
        <w:contextualSpacing/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r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9263071" wp14:editId="12C9E76F">
            <wp:simplePos x="0" y="0"/>
            <wp:positionH relativeFrom="column">
              <wp:posOffset>262890</wp:posOffset>
            </wp:positionH>
            <wp:positionV relativeFrom="paragraph">
              <wp:posOffset>173355</wp:posOffset>
            </wp:positionV>
            <wp:extent cx="2696845" cy="1348740"/>
            <wp:effectExtent l="0" t="0" r="8255" b="3810"/>
            <wp:wrapTight wrapText="bothSides">
              <wp:wrapPolygon edited="0">
                <wp:start x="0" y="0"/>
                <wp:lineTo x="0" y="21356"/>
                <wp:lineTo x="21514" y="21356"/>
                <wp:lineTo x="21514" y="0"/>
                <wp:lineTo x="0" y="0"/>
              </wp:wrapPolygon>
            </wp:wrapTight>
            <wp:docPr id="2" name="Рисунок 2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8B4DD0F" w14:textId="6A257713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Согласно действующему законодательству имущество, находящееся в собственности двух или нескольких граждан, принадлежит им на праве общей собственности. В случае, когда доля каждого гражданина в общей собственности не определена, имущество считается находящимся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общей совместной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Например, имущество, нажитое супругами во время брака. </w:t>
      </w:r>
    </w:p>
    <w:p w14:paraId="0D915960" w14:textId="77777777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Если же доля каждого из собственников определена, и каждому участнику общей собственности принадлежит доля в праве, то считается, что имущество находится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общей долевой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этих лиц.</w:t>
      </w:r>
    </w:p>
    <w:p w14:paraId="1C1E71F2" w14:textId="77777777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определенных жизненных ситуациях у граждан, совместно владеющих недвижимостью, может возникнуть необходимость или желание определиться с размером доли каждого из них в праве на нее.</w:t>
      </w:r>
    </w:p>
    <w:p w14:paraId="570621FC" w14:textId="6C7DF5C6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 палата по Краснодарскому краю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напоминает, что законодательством определены два способа установления долевой собственности на недвижимость, находящуюся в совместной собственности. </w:t>
      </w:r>
    </w:p>
    <w:p w14:paraId="2152AEEB" w14:textId="77777777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Имущество, находящееся в долевой собственности, может быть разделено между ее участниками 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по соглашению участников совместной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в том числе супругов, путем заключения брачного договора или соглашения о разделе общего имущества супругов. Размер долей в этом случае определяют участники совместной собственности. При этом и соглашение, и брачный договор заключаются в письменной форме и должны быть нотариально удостоверены.</w:t>
      </w:r>
    </w:p>
    <w:p w14:paraId="7C0D3633" w14:textId="30307F33"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 </w:t>
      </w:r>
      <w:r w:rsidR="00904A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</w:t>
      </w:r>
      <w:r w:rsidR="00904AD4"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достижении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участниками долевой собственности согласия о выделе доли одного из них, участник долевой собственности вправе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судебном порядке</w:t>
      </w:r>
      <w:r w:rsidR="00EC6D6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требовать выдела в праве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своей доли из общего имущества. Размер долей в таком случае определяет суд с учетом фактических обстоятельств дела.</w:t>
      </w:r>
    </w:p>
    <w:p w14:paraId="22290EB8" w14:textId="77777777" w:rsidR="001F57B5" w:rsidRDefault="00E3593F" w:rsidP="001F57B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некоторых случаях выделить долю одного из участников невозможно (например, в силу неделимости вещи). В таком случае выделяющийся собственник имеет право на выплату ему стоимости его доли другими участниками долевой собственности, но только с его согласия. </w:t>
      </w:r>
    </w:p>
    <w:p w14:paraId="5441B1A4" w14:textId="72991138" w:rsidR="003C6016" w:rsidRPr="003C6016" w:rsidRDefault="003C6016" w:rsidP="003C6016">
      <w:pPr>
        <w:pStyle w:val="a3"/>
        <w:spacing w:before="107" w:after="107" w:line="408" w:lineRule="atLeast"/>
        <w:jc w:val="both"/>
        <w:rPr>
          <w:rFonts w:ascii="Segoe UI" w:hAnsi="Segoe UI" w:cs="Segoe UI"/>
          <w:color w:val="000000" w:themeColor="text1"/>
        </w:rPr>
      </w:pPr>
      <w:r w:rsidRPr="003C6016">
        <w:rPr>
          <w:rFonts w:ascii="Segoe UI" w:hAnsi="Segoe UI" w:cs="Segoe UI"/>
          <w:color w:val="000000" w:themeColor="text1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</w:rPr>
        <w:t>________________</w:t>
      </w:r>
    </w:p>
    <w:p w14:paraId="7748C2BB" w14:textId="77777777" w:rsidR="003C6016" w:rsidRPr="003C6016" w:rsidRDefault="003C6016" w:rsidP="003C6016">
      <w:pPr>
        <w:pStyle w:val="a3"/>
        <w:spacing w:before="107" w:after="107" w:line="408" w:lineRule="atLeast"/>
        <w:jc w:val="both"/>
        <w:rPr>
          <w:rFonts w:ascii="Segoe UI" w:hAnsi="Segoe UI" w:cs="Segoe UI"/>
          <w:color w:val="000000" w:themeColor="text1"/>
        </w:rPr>
      </w:pPr>
      <w:r w:rsidRPr="003C6016">
        <w:rPr>
          <w:rFonts w:ascii="Segoe UI" w:hAnsi="Segoe UI" w:cs="Segoe UI"/>
          <w:color w:val="000000" w:themeColor="text1"/>
        </w:rPr>
        <w:t>Пресс-служба Кадастровой палаты по Краснодарскому краю</w:t>
      </w:r>
    </w:p>
    <w:p w14:paraId="3D637E30" w14:textId="77777777" w:rsidR="003C6016" w:rsidRPr="003C6016" w:rsidRDefault="003C6016" w:rsidP="003C6016">
      <w:pPr>
        <w:pStyle w:val="a3"/>
        <w:spacing w:before="107" w:after="107" w:line="408" w:lineRule="atLeast"/>
        <w:jc w:val="both"/>
        <w:rPr>
          <w:color w:val="000000" w:themeColor="text1"/>
        </w:rPr>
      </w:pPr>
      <w:hyperlink r:id="rId7" w:history="1">
        <w:r w:rsidRPr="003C6016">
          <w:rPr>
            <w:rStyle w:val="a4"/>
            <w:rFonts w:ascii="Segoe UI" w:hAnsi="Segoe UI" w:cs="Segoe UI"/>
            <w:color w:val="000000" w:themeColor="text1"/>
          </w:rPr>
          <w:t>press23@23.kadastr.ru</w:t>
        </w:r>
      </w:hyperlink>
    </w:p>
    <w:p w14:paraId="0FB00DE4" w14:textId="77777777"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011ABFB" w14:textId="77777777" w:rsidR="0055503E" w:rsidRDefault="0055503E" w:rsidP="00617D44">
      <w:pPr>
        <w:spacing w:after="0" w:line="240" w:lineRule="atLeast"/>
      </w:pPr>
    </w:p>
    <w:sectPr w:rsidR="0055503E" w:rsidSect="00904A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E20"/>
    <w:multiLevelType w:val="multilevel"/>
    <w:tmpl w:val="D29C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6"/>
    <w:rsid w:val="000161EF"/>
    <w:rsid w:val="00083ECA"/>
    <w:rsid w:val="00137F46"/>
    <w:rsid w:val="001646F4"/>
    <w:rsid w:val="001C5DB5"/>
    <w:rsid w:val="001F57B5"/>
    <w:rsid w:val="002F0990"/>
    <w:rsid w:val="00373B9B"/>
    <w:rsid w:val="003B5D08"/>
    <w:rsid w:val="003C6016"/>
    <w:rsid w:val="00435A7C"/>
    <w:rsid w:val="004A523F"/>
    <w:rsid w:val="0055503E"/>
    <w:rsid w:val="00587015"/>
    <w:rsid w:val="005C7E33"/>
    <w:rsid w:val="005D11AE"/>
    <w:rsid w:val="00617BB0"/>
    <w:rsid w:val="00617D44"/>
    <w:rsid w:val="006776FD"/>
    <w:rsid w:val="00733165"/>
    <w:rsid w:val="00777B78"/>
    <w:rsid w:val="0089273F"/>
    <w:rsid w:val="00904AD4"/>
    <w:rsid w:val="00923048"/>
    <w:rsid w:val="00951F83"/>
    <w:rsid w:val="00B66707"/>
    <w:rsid w:val="00B82F39"/>
    <w:rsid w:val="00BB64AC"/>
    <w:rsid w:val="00C33CBD"/>
    <w:rsid w:val="00CA7CA6"/>
    <w:rsid w:val="00CC0021"/>
    <w:rsid w:val="00CC7886"/>
    <w:rsid w:val="00D548FF"/>
    <w:rsid w:val="00E3593F"/>
    <w:rsid w:val="00E64EE0"/>
    <w:rsid w:val="00E73A34"/>
    <w:rsid w:val="00EA433C"/>
    <w:rsid w:val="00EC6D6B"/>
    <w:rsid w:val="00E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5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7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7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cp:lastModifiedBy>Федорова Полина Олеговна</cp:lastModifiedBy>
  <cp:revision>18</cp:revision>
  <dcterms:created xsi:type="dcterms:W3CDTF">2018-09-28T06:12:00Z</dcterms:created>
  <dcterms:modified xsi:type="dcterms:W3CDTF">2019-09-17T09:40:00Z</dcterms:modified>
</cp:coreProperties>
</file>